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BE24" w14:textId="77777777" w:rsidR="00447071" w:rsidRPr="00F257F1" w:rsidRDefault="00447071" w:rsidP="008B1C9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DA76058" w14:textId="77777777" w:rsidR="00804EA8" w:rsidRPr="00F257F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7F1">
        <w:rPr>
          <w:rFonts w:ascii="Times New Roman" w:hAnsi="Times New Roman"/>
          <w:b/>
          <w:sz w:val="24"/>
          <w:szCs w:val="24"/>
        </w:rPr>
        <w:t>СООБЩЕНИЕ</w:t>
      </w:r>
    </w:p>
    <w:p w14:paraId="3927CDB6" w14:textId="77777777" w:rsidR="00804EA8" w:rsidRPr="00F257F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7F1"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акционеров</w:t>
      </w:r>
    </w:p>
    <w:p w14:paraId="470B8C5E" w14:textId="77777777" w:rsidR="00804EA8" w:rsidRPr="00F257F1" w:rsidRDefault="00A01F93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7F1">
        <w:rPr>
          <w:rFonts w:ascii="Times New Roman" w:hAnsi="Times New Roman"/>
          <w:b/>
          <w:sz w:val="24"/>
          <w:szCs w:val="24"/>
        </w:rPr>
        <w:t xml:space="preserve">Публичного </w:t>
      </w:r>
      <w:r w:rsidR="00804EA8" w:rsidRPr="00F257F1">
        <w:rPr>
          <w:rFonts w:ascii="Times New Roman" w:hAnsi="Times New Roman"/>
          <w:b/>
          <w:sz w:val="24"/>
          <w:szCs w:val="24"/>
        </w:rPr>
        <w:t>акционерного общества «Орскнефтеоргсинтез»</w:t>
      </w:r>
    </w:p>
    <w:p w14:paraId="2114D668" w14:textId="77777777" w:rsidR="00123A0D" w:rsidRPr="00F257F1" w:rsidRDefault="00123A0D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72089B" w14:textId="1CD143A5" w:rsidR="00804EA8" w:rsidRPr="00F257F1" w:rsidRDefault="00804EA8" w:rsidP="00C52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7F1">
        <w:rPr>
          <w:rFonts w:ascii="Times New Roman" w:hAnsi="Times New Roman"/>
          <w:sz w:val="24"/>
          <w:szCs w:val="24"/>
        </w:rPr>
        <w:t>(Место нахождения Общества: 462407, Российская Федерация, Оренбургская область,</w:t>
      </w:r>
      <w:r w:rsidR="001C5965" w:rsidRPr="00F257F1">
        <w:rPr>
          <w:rFonts w:ascii="Times New Roman" w:hAnsi="Times New Roman"/>
          <w:sz w:val="24"/>
          <w:szCs w:val="24"/>
        </w:rPr>
        <w:t xml:space="preserve"> </w:t>
      </w:r>
      <w:r w:rsidRPr="00F257F1">
        <w:rPr>
          <w:rFonts w:ascii="Times New Roman" w:hAnsi="Times New Roman"/>
          <w:sz w:val="24"/>
          <w:szCs w:val="24"/>
        </w:rPr>
        <w:t>г.</w:t>
      </w:r>
      <w:r w:rsidR="001C5965" w:rsidRPr="00F257F1">
        <w:rPr>
          <w:rFonts w:ascii="Times New Roman" w:hAnsi="Times New Roman"/>
          <w:sz w:val="24"/>
          <w:szCs w:val="24"/>
        </w:rPr>
        <w:t> </w:t>
      </w:r>
      <w:r w:rsidRPr="00F257F1">
        <w:rPr>
          <w:rFonts w:ascii="Times New Roman" w:hAnsi="Times New Roman"/>
          <w:sz w:val="24"/>
          <w:szCs w:val="24"/>
        </w:rPr>
        <w:t>Орск, ул. Гончарова, 1</w:t>
      </w:r>
      <w:r w:rsidR="00E45408" w:rsidRPr="00F257F1">
        <w:rPr>
          <w:rFonts w:ascii="Times New Roman" w:hAnsi="Times New Roman"/>
          <w:sz w:val="24"/>
          <w:szCs w:val="24"/>
        </w:rPr>
        <w:t>а</w:t>
      </w:r>
      <w:r w:rsidRPr="00F257F1">
        <w:rPr>
          <w:rFonts w:ascii="Times New Roman" w:hAnsi="Times New Roman"/>
          <w:sz w:val="24"/>
          <w:szCs w:val="24"/>
        </w:rPr>
        <w:t>)</w:t>
      </w:r>
      <w:r w:rsidR="0071715D" w:rsidRPr="00F257F1">
        <w:rPr>
          <w:rFonts w:ascii="Times New Roman" w:hAnsi="Times New Roman"/>
          <w:sz w:val="24"/>
          <w:szCs w:val="24"/>
        </w:rPr>
        <w:t>.</w:t>
      </w:r>
    </w:p>
    <w:p w14:paraId="2CC0FE52" w14:textId="229B07BA" w:rsidR="00804EA8" w:rsidRPr="00A810E1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7F1">
        <w:rPr>
          <w:rFonts w:ascii="Times New Roman" w:hAnsi="Times New Roman"/>
          <w:sz w:val="24"/>
          <w:szCs w:val="24"/>
        </w:rPr>
        <w:t>В соответстви</w:t>
      </w:r>
      <w:r w:rsidR="00A01F93" w:rsidRPr="00F257F1">
        <w:rPr>
          <w:rFonts w:ascii="Times New Roman" w:hAnsi="Times New Roman"/>
          <w:sz w:val="24"/>
          <w:szCs w:val="24"/>
        </w:rPr>
        <w:t>и с решением Совета директоров П</w:t>
      </w:r>
      <w:r w:rsidRPr="00F257F1">
        <w:rPr>
          <w:rFonts w:ascii="Times New Roman" w:hAnsi="Times New Roman"/>
          <w:sz w:val="24"/>
          <w:szCs w:val="24"/>
        </w:rPr>
        <w:t>АО «Орскнефтеоргсинтез» (</w:t>
      </w:r>
      <w:r w:rsidR="0016773F" w:rsidRPr="00F257F1">
        <w:rPr>
          <w:rFonts w:ascii="Times New Roman" w:hAnsi="Times New Roman"/>
          <w:sz w:val="24"/>
          <w:szCs w:val="24"/>
        </w:rPr>
        <w:t xml:space="preserve">далее – Общество) (протокол от </w:t>
      </w:r>
      <w:r w:rsidR="00E57AE8">
        <w:rPr>
          <w:rFonts w:ascii="Times New Roman" w:hAnsi="Times New Roman"/>
          <w:sz w:val="24"/>
          <w:szCs w:val="24"/>
        </w:rPr>
        <w:t>18</w:t>
      </w:r>
      <w:r w:rsidR="00C5285A">
        <w:rPr>
          <w:rFonts w:ascii="Times New Roman" w:hAnsi="Times New Roman"/>
          <w:sz w:val="24"/>
          <w:szCs w:val="24"/>
        </w:rPr>
        <w:t>.0</w:t>
      </w:r>
      <w:r w:rsidR="000308AE">
        <w:rPr>
          <w:rFonts w:ascii="Times New Roman" w:hAnsi="Times New Roman"/>
          <w:sz w:val="24"/>
          <w:szCs w:val="24"/>
        </w:rPr>
        <w:t>8</w:t>
      </w:r>
      <w:r w:rsidR="00261001" w:rsidRPr="00F257F1">
        <w:rPr>
          <w:rFonts w:ascii="Times New Roman" w:hAnsi="Times New Roman"/>
          <w:sz w:val="24"/>
          <w:szCs w:val="24"/>
        </w:rPr>
        <w:t>.2022</w:t>
      </w:r>
      <w:r w:rsidR="009971CE" w:rsidRPr="00F257F1">
        <w:rPr>
          <w:rFonts w:ascii="Times New Roman" w:hAnsi="Times New Roman"/>
          <w:sz w:val="24"/>
          <w:szCs w:val="24"/>
        </w:rPr>
        <w:t xml:space="preserve"> № </w:t>
      </w:r>
      <w:r w:rsidR="00A70BBE" w:rsidRPr="00F257F1">
        <w:rPr>
          <w:rFonts w:ascii="Times New Roman" w:hAnsi="Times New Roman"/>
          <w:sz w:val="24"/>
          <w:szCs w:val="24"/>
        </w:rPr>
        <w:t>5</w:t>
      </w:r>
      <w:r w:rsidR="00E57AE8">
        <w:rPr>
          <w:rFonts w:ascii="Times New Roman" w:hAnsi="Times New Roman"/>
          <w:sz w:val="24"/>
          <w:szCs w:val="24"/>
        </w:rPr>
        <w:t>34</w:t>
      </w:r>
      <w:r w:rsidR="004426BD" w:rsidRPr="00F257F1">
        <w:rPr>
          <w:rFonts w:ascii="Times New Roman" w:hAnsi="Times New Roman"/>
          <w:sz w:val="24"/>
          <w:szCs w:val="24"/>
        </w:rPr>
        <w:t xml:space="preserve">) </w:t>
      </w:r>
      <w:r w:rsidR="000308AE">
        <w:rPr>
          <w:rFonts w:ascii="Times New Roman" w:hAnsi="Times New Roman"/>
          <w:b/>
          <w:sz w:val="24"/>
          <w:szCs w:val="24"/>
        </w:rPr>
        <w:t>2</w:t>
      </w:r>
      <w:r w:rsidR="00C5285A">
        <w:rPr>
          <w:rFonts w:ascii="Times New Roman" w:hAnsi="Times New Roman"/>
          <w:b/>
          <w:sz w:val="24"/>
          <w:szCs w:val="24"/>
        </w:rPr>
        <w:t xml:space="preserve">0 </w:t>
      </w:r>
      <w:r w:rsidR="000308AE">
        <w:rPr>
          <w:rFonts w:ascii="Times New Roman" w:hAnsi="Times New Roman"/>
          <w:b/>
          <w:sz w:val="24"/>
          <w:szCs w:val="24"/>
        </w:rPr>
        <w:t>сентября</w:t>
      </w:r>
      <w:r w:rsidR="00565E58" w:rsidRPr="00A810E1">
        <w:rPr>
          <w:rFonts w:ascii="Times New Roman" w:hAnsi="Times New Roman"/>
          <w:b/>
          <w:sz w:val="24"/>
          <w:szCs w:val="24"/>
        </w:rPr>
        <w:t xml:space="preserve"> 202</w:t>
      </w:r>
      <w:r w:rsidR="00A70BBE">
        <w:rPr>
          <w:rFonts w:ascii="Times New Roman" w:hAnsi="Times New Roman"/>
          <w:b/>
          <w:sz w:val="24"/>
          <w:szCs w:val="24"/>
        </w:rPr>
        <w:t>2</w:t>
      </w:r>
      <w:r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="004540B2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>состоится внеочередное общее собрание акционеров в форме заочного голосования</w:t>
      </w:r>
      <w:r w:rsidR="000E2CB3" w:rsidRPr="00A810E1">
        <w:rPr>
          <w:rFonts w:ascii="Times New Roman" w:hAnsi="Times New Roman"/>
          <w:sz w:val="24"/>
          <w:szCs w:val="24"/>
        </w:rPr>
        <w:t xml:space="preserve"> со следующей повесткой дня:</w:t>
      </w:r>
    </w:p>
    <w:p w14:paraId="02E96BBB" w14:textId="77777777" w:rsidR="00637434" w:rsidRPr="00A810E1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8CD9A8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сделки, в совершении которой имеется заинтересованность - Дополнительное соглашение №10 от 24.06.2022 к Договору поручительства №5400/587/949 от 20.02.2019.</w:t>
      </w:r>
    </w:p>
    <w:p w14:paraId="1986C851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сделки, в совершении которой имеется заинтересованность - Дополнительное соглашение №11 от 24.06.2022 к Договору поручительства №5400/587/949 от 20.02.2019.</w:t>
      </w:r>
    </w:p>
    <w:p w14:paraId="62BF8D70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сделки, в совершении которой имеется заинтересованность - Дополнительное соглашение №12 от 26.07.2022 к Договору поручительства №5400/587/949 от 20.02.2019.</w:t>
      </w:r>
    </w:p>
    <w:p w14:paraId="69A1DC80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– Дополнительное соглашение №33 от 06.07.2022 к Договору №3742 об открытии невозобновляемой кредитной линии от 26.06.2013.</w:t>
      </w:r>
    </w:p>
    <w:p w14:paraId="0194FA0A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– Дополнительное соглашение №34 от 14.07.2022 к Договору №3742 об открытии невозобновляемой кредитной линии от 26.06.2013.</w:t>
      </w:r>
    </w:p>
    <w:p w14:paraId="4B48F573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- Дополнительное соглашение №15 от 06.07.2022 к Договору № 5400/285 об открытии невозобновляемой кредитной линии от 29.07.2016.</w:t>
      </w:r>
    </w:p>
    <w:p w14:paraId="48FD0FE0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- Дополнительное соглашение №16 от 14.07.2022 к Договору № 5400/285 об открытии невозобновляемой кредитной линии от 29.07.2016.</w:t>
      </w:r>
    </w:p>
    <w:p w14:paraId="2F56D42D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- Дополнительное соглашение № 3 от 06.07.2022 к Соглашению о новации обязательств от 29.06.2021 из Договора №7651 об открытии невозобновляемой кредитной линии от 04.12.2020.</w:t>
      </w:r>
    </w:p>
    <w:p w14:paraId="311686FC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- Дополнительное соглашение № 4 от 14.07.2022 к Соглашению о новации обязательств от 29.06.2021 из Договора №7651 об открытии невозобновляемой кредитной линии от 04.12.2020.</w:t>
      </w:r>
    </w:p>
    <w:p w14:paraId="484533B5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- Дополнительное соглашение № 3 от 06.07.2022 к Договору № 7795 об открытии невозобновляемой кредитной линии от 03.08.2021.</w:t>
      </w:r>
    </w:p>
    <w:p w14:paraId="21DD8F81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- Дополнительное соглашение № 4 от 14.07.2022 к Договору № 7795 об открытии невозобновляемой кредитной линии от 03.08.2021.</w:t>
      </w:r>
    </w:p>
    <w:p w14:paraId="4BD71F28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крупной сделки - Договор № 8149 об открытии невозобновляемой кредитной линии от 18.07.2022.</w:t>
      </w:r>
    </w:p>
    <w:p w14:paraId="16D30C76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- Дополнительное соглашение №8 от 26.07.2022 к Договору поручительства №5400/280/534 от 30.06.2016.</w:t>
      </w:r>
    </w:p>
    <w:p w14:paraId="3991D6EC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- Дополнительное соглашение №8 от 26.07.2022 к Договору поручительства №5400/283/541 от 30.06.2016.</w:t>
      </w:r>
    </w:p>
    <w:p w14:paraId="2AEEDD39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- Дополнительное соглашение №5 от 26.07.2022 к Договору поручительства №6653-П-11 от 03.08.2018.</w:t>
      </w:r>
    </w:p>
    <w:p w14:paraId="28A9A41B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 xml:space="preserve">Об одобрении сделки, в совершении которой имеется заинтересованность - Дополнительное соглашение №13 от 26.07.2022 к Договору поручительства №5428-ПОР/1 от 28.07.2011. </w:t>
      </w:r>
    </w:p>
    <w:p w14:paraId="0F0975D4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lastRenderedPageBreak/>
        <w:t>Об одобрении сделки, в совершении которой имеется заинтересованность - Дополнительное соглашение № 25 от 03.08.2022 к Договору ипотеки № 5428-И от 15 декабря 2011.</w:t>
      </w:r>
    </w:p>
    <w:p w14:paraId="78FA0D92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- Дополнительное соглашение № 20 от 03.08.2022 к Договору залога № 5428-ЗАЛ/З от 28 июля 2011.</w:t>
      </w:r>
    </w:p>
    <w:p w14:paraId="2BE785CA" w14:textId="1D27364B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– Дополнительное соглашение №16 от 03.08.2022 к Договору залога №5400-3742-З от 28.02.</w:t>
      </w:r>
      <w:r w:rsidR="00CB6917">
        <w:rPr>
          <w:rFonts w:ascii="Times New Roman" w:hAnsi="Times New Roman"/>
          <w:b/>
          <w:bCs/>
          <w:i/>
          <w:sz w:val="24"/>
          <w:szCs w:val="24"/>
        </w:rPr>
        <w:t>2017</w:t>
      </w:r>
      <w:r w:rsidRPr="000308AE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6C0451A6" w14:textId="77777777" w:rsidR="000308AE" w:rsidRPr="000308AE" w:rsidRDefault="000308AE" w:rsidP="00030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308AE">
        <w:rPr>
          <w:rFonts w:ascii="Times New Roman" w:hAnsi="Times New Roman"/>
          <w:b/>
          <w:bCs/>
          <w:i/>
          <w:sz w:val="24"/>
          <w:szCs w:val="24"/>
        </w:rPr>
        <w:t>Об одобрении сделки, в совершении которой имеется заинтересованность – Дополнительное соглашение №9 от 03.08.2022 к Договору залога №5400/3742/583 от 11.11.2016.</w:t>
      </w:r>
    </w:p>
    <w:p w14:paraId="641406F1" w14:textId="77777777" w:rsidR="00565E58" w:rsidRPr="00A810E1" w:rsidRDefault="00565E58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5B40A9" w14:textId="4B7FFAC3" w:rsidR="003562C6" w:rsidRPr="00A810E1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Дата </w:t>
      </w:r>
      <w:r w:rsidR="00B546DB" w:rsidRPr="00B546DB">
        <w:rPr>
          <w:rFonts w:ascii="Times New Roman" w:hAnsi="Times New Roman"/>
          <w:bCs/>
          <w:sz w:val="24"/>
          <w:szCs w:val="24"/>
        </w:rPr>
        <w:t xml:space="preserve">определения (фиксации) </w:t>
      </w:r>
      <w:r w:rsidRPr="00A810E1">
        <w:rPr>
          <w:rFonts w:ascii="Times New Roman" w:hAnsi="Times New Roman"/>
          <w:sz w:val="24"/>
          <w:szCs w:val="24"/>
        </w:rPr>
        <w:t xml:space="preserve">лиц, имеющих право на участие во внеочередном общем собрании акционеров Общества – </w:t>
      </w:r>
      <w:r w:rsidR="00593A19">
        <w:rPr>
          <w:rFonts w:ascii="Times New Roman" w:hAnsi="Times New Roman"/>
          <w:b/>
          <w:sz w:val="24"/>
          <w:szCs w:val="24"/>
        </w:rPr>
        <w:t>26 августа</w:t>
      </w:r>
      <w:r w:rsidR="00565E58" w:rsidRPr="00A810E1">
        <w:rPr>
          <w:rFonts w:ascii="Times New Roman" w:hAnsi="Times New Roman"/>
          <w:b/>
          <w:sz w:val="24"/>
          <w:szCs w:val="24"/>
        </w:rPr>
        <w:t xml:space="preserve"> 202</w:t>
      </w:r>
      <w:r w:rsidR="00A70BBE">
        <w:rPr>
          <w:rFonts w:ascii="Times New Roman" w:hAnsi="Times New Roman"/>
          <w:b/>
          <w:sz w:val="24"/>
          <w:szCs w:val="24"/>
        </w:rPr>
        <w:t>2</w:t>
      </w:r>
      <w:r w:rsidR="007D00DC"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Pr="00A810E1">
        <w:rPr>
          <w:rFonts w:ascii="Times New Roman" w:hAnsi="Times New Roman"/>
          <w:b/>
          <w:sz w:val="24"/>
          <w:szCs w:val="24"/>
        </w:rPr>
        <w:t>.</w:t>
      </w:r>
    </w:p>
    <w:p w14:paraId="1ACC8FEE" w14:textId="0E2D257A"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</w:t>
      </w:r>
      <w:r w:rsidR="00593A19" w:rsidRPr="00593A19">
        <w:rPr>
          <w:rFonts w:ascii="Times New Roman" w:hAnsi="Times New Roman"/>
          <w:sz w:val="24"/>
          <w:szCs w:val="24"/>
        </w:rPr>
        <w:t>и привилегированных именных бездокументарных акций Общества</w:t>
      </w:r>
      <w:r w:rsidRPr="00A810E1">
        <w:rPr>
          <w:rFonts w:ascii="Times New Roman" w:hAnsi="Times New Roman"/>
          <w:sz w:val="24"/>
          <w:szCs w:val="24"/>
        </w:rPr>
        <w:t>.</w:t>
      </w:r>
    </w:p>
    <w:p w14:paraId="34BA4CBE" w14:textId="77777777"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Почтовые адреса для направления заполненных бюллетеней для голосования:</w:t>
      </w:r>
    </w:p>
    <w:p w14:paraId="6A1EE019" w14:textId="77777777"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14:paraId="3D881F6F" w14:textId="77777777"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14:paraId="2A2AC4EF" w14:textId="2D576820" w:rsidR="00BF74AE" w:rsidRPr="00A810E1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Дата</w:t>
      </w:r>
      <w:r w:rsidR="003562C6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 xml:space="preserve">окончания приема бюллетеней для голосования – </w:t>
      </w:r>
      <w:r w:rsidR="00593A19">
        <w:rPr>
          <w:rFonts w:ascii="Times New Roman" w:hAnsi="Times New Roman"/>
          <w:sz w:val="24"/>
          <w:szCs w:val="24"/>
        </w:rPr>
        <w:t>2</w:t>
      </w:r>
      <w:r w:rsidR="00C5285A">
        <w:rPr>
          <w:rFonts w:ascii="Times New Roman" w:hAnsi="Times New Roman"/>
          <w:sz w:val="24"/>
          <w:szCs w:val="24"/>
        </w:rPr>
        <w:t xml:space="preserve">0 </w:t>
      </w:r>
      <w:r w:rsidR="00593A19">
        <w:rPr>
          <w:rFonts w:ascii="Times New Roman" w:hAnsi="Times New Roman"/>
          <w:sz w:val="24"/>
          <w:szCs w:val="24"/>
        </w:rPr>
        <w:t>сентября</w:t>
      </w:r>
      <w:r w:rsidR="00565E58" w:rsidRPr="00A810E1">
        <w:rPr>
          <w:rFonts w:ascii="Times New Roman" w:hAnsi="Times New Roman"/>
          <w:sz w:val="24"/>
          <w:szCs w:val="24"/>
        </w:rPr>
        <w:t xml:space="preserve"> 202</w:t>
      </w:r>
      <w:r w:rsidR="00A70BBE">
        <w:rPr>
          <w:rFonts w:ascii="Times New Roman" w:hAnsi="Times New Roman"/>
          <w:sz w:val="24"/>
          <w:szCs w:val="24"/>
        </w:rPr>
        <w:t>2</w:t>
      </w:r>
      <w:r w:rsidR="00123A0D" w:rsidRPr="00A810E1">
        <w:rPr>
          <w:rFonts w:ascii="Times New Roman" w:hAnsi="Times New Roman"/>
          <w:sz w:val="24"/>
          <w:szCs w:val="24"/>
        </w:rPr>
        <w:t xml:space="preserve"> года</w:t>
      </w:r>
      <w:r w:rsidRPr="00A810E1">
        <w:rPr>
          <w:rFonts w:ascii="Times New Roman" w:hAnsi="Times New Roman"/>
          <w:sz w:val="24"/>
          <w:szCs w:val="24"/>
        </w:rPr>
        <w:t>.</w:t>
      </w:r>
    </w:p>
    <w:p w14:paraId="45D1D5F9" w14:textId="66B8A5D7" w:rsidR="000E2CB3" w:rsidRPr="00A810E1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Голоса, представленные бюллетенями для голосования, полученные </w:t>
      </w:r>
      <w:r w:rsidR="00515CAB" w:rsidRPr="00515CAB">
        <w:rPr>
          <w:rFonts w:ascii="Times New Roman" w:hAnsi="Times New Roman"/>
          <w:sz w:val="24"/>
          <w:szCs w:val="24"/>
        </w:rPr>
        <w:t>до даты окончания приема бюллетеней</w:t>
      </w:r>
      <w:r w:rsidRPr="00A810E1">
        <w:rPr>
          <w:rFonts w:ascii="Times New Roman" w:hAnsi="Times New Roman"/>
          <w:sz w:val="24"/>
          <w:szCs w:val="24"/>
        </w:rPr>
        <w:t>, учитываются при определении кворума и подведени</w:t>
      </w:r>
      <w:r w:rsidR="0080667A" w:rsidRPr="00A810E1">
        <w:rPr>
          <w:rFonts w:ascii="Times New Roman" w:hAnsi="Times New Roman"/>
          <w:sz w:val="24"/>
          <w:szCs w:val="24"/>
        </w:rPr>
        <w:t>и</w:t>
      </w:r>
      <w:r w:rsidRPr="00A810E1">
        <w:rPr>
          <w:rFonts w:ascii="Times New Roman" w:hAnsi="Times New Roman"/>
          <w:sz w:val="24"/>
          <w:szCs w:val="24"/>
        </w:rPr>
        <w:t xml:space="preserve"> итогов голосования по вопрос</w:t>
      </w:r>
      <w:r w:rsidR="0080667A" w:rsidRPr="00A810E1">
        <w:rPr>
          <w:rFonts w:ascii="Times New Roman" w:hAnsi="Times New Roman"/>
          <w:sz w:val="24"/>
          <w:szCs w:val="24"/>
        </w:rPr>
        <w:t>ам</w:t>
      </w:r>
      <w:r w:rsidRPr="00A810E1">
        <w:rPr>
          <w:rFonts w:ascii="Times New Roman" w:hAnsi="Times New Roman"/>
          <w:sz w:val="24"/>
          <w:szCs w:val="24"/>
        </w:rPr>
        <w:t xml:space="preserve"> повестки дня внеочередного общего собрания акционеров.</w:t>
      </w:r>
    </w:p>
    <w:p w14:paraId="1E0A806F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14:paraId="13EDE709" w14:textId="18C18E30" w:rsidR="008C4EB0" w:rsidRDefault="00286486" w:rsidP="00A7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Цена выкупа Обществом по требованию акционера обыкновенных именных бездокументарных акций установлена в размере </w:t>
      </w:r>
      <w:r w:rsidR="00E57AE8">
        <w:rPr>
          <w:rFonts w:ascii="Times New Roman" w:hAnsi="Times New Roman"/>
          <w:sz w:val="24"/>
          <w:szCs w:val="24"/>
        </w:rPr>
        <w:t xml:space="preserve">2 418 </w:t>
      </w:r>
      <w:r w:rsidRPr="00A810E1">
        <w:rPr>
          <w:rFonts w:ascii="Times New Roman" w:hAnsi="Times New Roman"/>
          <w:sz w:val="24"/>
          <w:szCs w:val="24"/>
        </w:rPr>
        <w:t>рубл</w:t>
      </w:r>
      <w:r w:rsidR="008C4EB0" w:rsidRPr="00A810E1">
        <w:rPr>
          <w:rFonts w:ascii="Times New Roman" w:hAnsi="Times New Roman"/>
          <w:sz w:val="24"/>
          <w:szCs w:val="24"/>
        </w:rPr>
        <w:t>ей</w:t>
      </w:r>
      <w:r w:rsidRPr="00A810E1">
        <w:rPr>
          <w:rFonts w:ascii="Times New Roman" w:hAnsi="Times New Roman"/>
          <w:sz w:val="24"/>
          <w:szCs w:val="24"/>
        </w:rPr>
        <w:t xml:space="preserve"> за акцию.</w:t>
      </w:r>
    </w:p>
    <w:p w14:paraId="0F582C74" w14:textId="44F22FC6" w:rsidR="00593A19" w:rsidRPr="00A810E1" w:rsidRDefault="00593A19" w:rsidP="00A7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3A19">
        <w:rPr>
          <w:rFonts w:ascii="Times New Roman" w:hAnsi="Times New Roman"/>
          <w:sz w:val="24"/>
          <w:szCs w:val="24"/>
        </w:rPr>
        <w:t xml:space="preserve">Цена выкупа Обществом по требованию акционера привилегированных именных бездокументарных акций установлена в размере </w:t>
      </w:r>
      <w:r w:rsidR="00E57AE8">
        <w:rPr>
          <w:rFonts w:ascii="Times New Roman" w:hAnsi="Times New Roman"/>
          <w:sz w:val="24"/>
          <w:szCs w:val="24"/>
        </w:rPr>
        <w:t xml:space="preserve">1 884 </w:t>
      </w:r>
      <w:bookmarkStart w:id="0" w:name="_GoBack"/>
      <w:bookmarkEnd w:id="0"/>
      <w:r w:rsidRPr="00593A19">
        <w:rPr>
          <w:rFonts w:ascii="Times New Roman" w:hAnsi="Times New Roman"/>
          <w:sz w:val="24"/>
          <w:szCs w:val="24"/>
        </w:rPr>
        <w:t>рубл</w:t>
      </w:r>
      <w:r w:rsidR="00E845C2">
        <w:rPr>
          <w:rFonts w:ascii="Times New Roman" w:hAnsi="Times New Roman"/>
          <w:sz w:val="24"/>
          <w:szCs w:val="24"/>
        </w:rPr>
        <w:t>ей</w:t>
      </w:r>
      <w:r w:rsidRPr="00593A19">
        <w:rPr>
          <w:rFonts w:ascii="Times New Roman" w:hAnsi="Times New Roman"/>
          <w:sz w:val="24"/>
          <w:szCs w:val="24"/>
        </w:rPr>
        <w:t xml:space="preserve"> за акцию.</w:t>
      </w:r>
    </w:p>
    <w:p w14:paraId="28C50D67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</w:p>
    <w:p w14:paraId="2A9FE6AF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14:paraId="53619F3D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14:paraId="6326D4EE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14:paraId="63C38C45" w14:textId="77777777"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истечении указанного срока,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14:paraId="5FE91CCA" w14:textId="0B5A0AC4" w:rsidR="00804EA8" w:rsidRPr="00A810E1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lastRenderedPageBreak/>
        <w:t>С материалами, подлежащими представлению акционерам при подготовке к проведению собрания акционеров, можно ознакоми</w:t>
      </w:r>
      <w:r w:rsidR="0044628B" w:rsidRPr="00A810E1">
        <w:rPr>
          <w:rFonts w:ascii="Times New Roman" w:hAnsi="Times New Roman"/>
          <w:sz w:val="24"/>
          <w:szCs w:val="24"/>
        </w:rPr>
        <w:t xml:space="preserve">ться в рабочие дни, </w:t>
      </w:r>
      <w:r w:rsidR="007D00DC" w:rsidRPr="00A810E1">
        <w:rPr>
          <w:rFonts w:ascii="Times New Roman" w:hAnsi="Times New Roman"/>
          <w:sz w:val="24"/>
          <w:szCs w:val="24"/>
        </w:rPr>
        <w:t xml:space="preserve">начиная с </w:t>
      </w:r>
      <w:r w:rsidR="00593A19">
        <w:rPr>
          <w:rFonts w:ascii="Times New Roman" w:hAnsi="Times New Roman"/>
          <w:sz w:val="24"/>
          <w:szCs w:val="24"/>
        </w:rPr>
        <w:t>30 августа</w:t>
      </w:r>
      <w:r w:rsidR="00565E58" w:rsidRPr="00A810E1">
        <w:rPr>
          <w:rFonts w:ascii="Times New Roman" w:hAnsi="Times New Roman"/>
          <w:sz w:val="24"/>
          <w:szCs w:val="24"/>
        </w:rPr>
        <w:t xml:space="preserve"> 202</w:t>
      </w:r>
      <w:r w:rsidR="00A70BBE">
        <w:rPr>
          <w:rFonts w:ascii="Times New Roman" w:hAnsi="Times New Roman"/>
          <w:sz w:val="24"/>
          <w:szCs w:val="24"/>
        </w:rPr>
        <w:t>2</w:t>
      </w:r>
      <w:r w:rsidR="007D00DC" w:rsidRPr="00A810E1">
        <w:rPr>
          <w:rFonts w:ascii="Times New Roman" w:hAnsi="Times New Roman"/>
          <w:sz w:val="24"/>
          <w:szCs w:val="24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14:paraId="0D02568A" w14:textId="77777777" w:rsidR="007D00DC" w:rsidRPr="00A810E1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DBEA7DA" w14:textId="77777777" w:rsidR="00804EA8" w:rsidRPr="00A810E1" w:rsidRDefault="00A01F93" w:rsidP="009971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Совет директоров П</w:t>
      </w:r>
      <w:r w:rsidR="00804EA8"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АО «Орскнефтеоргсинтез»</w:t>
      </w:r>
    </w:p>
    <w:sectPr w:rsidR="00804EA8" w:rsidRPr="00A810E1" w:rsidSect="00F519A0">
      <w:footerReference w:type="even" r:id="rId7"/>
      <w:footerReference w:type="default" r:id="rId8"/>
      <w:pgSz w:w="11906" w:h="16838"/>
      <w:pgMar w:top="614" w:right="850" w:bottom="709" w:left="1134" w:header="426" w:footer="0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1B375" w14:textId="77777777" w:rsidR="00DA7AD4" w:rsidRDefault="00DA7AD4" w:rsidP="002E36F3">
      <w:pPr>
        <w:spacing w:after="0" w:line="240" w:lineRule="auto"/>
      </w:pPr>
      <w:r>
        <w:separator/>
      </w:r>
    </w:p>
  </w:endnote>
  <w:endnote w:type="continuationSeparator" w:id="0">
    <w:p w14:paraId="74292168" w14:textId="77777777" w:rsidR="00DA7AD4" w:rsidRDefault="00DA7AD4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497544"/>
      <w:docPartObj>
        <w:docPartGallery w:val="Page Numbers (Bottom of Page)"/>
        <w:docPartUnique/>
      </w:docPartObj>
    </w:sdtPr>
    <w:sdtEndPr/>
    <w:sdtContent>
      <w:p w14:paraId="667FB1A8" w14:textId="715D63CB" w:rsidR="00C22DCF" w:rsidRDefault="00C22D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7FB05" w14:textId="2A70FDD5" w:rsidR="00C5285A" w:rsidRDefault="00C528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0192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364BA24" w14:textId="57ED452F" w:rsidR="00C22DCF" w:rsidRPr="00C22DCF" w:rsidRDefault="00C22DCF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C22DCF">
          <w:rPr>
            <w:rFonts w:ascii="Times New Roman" w:hAnsi="Times New Roman"/>
            <w:sz w:val="20"/>
            <w:szCs w:val="20"/>
          </w:rPr>
          <w:fldChar w:fldCharType="begin"/>
        </w:r>
        <w:r w:rsidRPr="00C22DC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22DCF">
          <w:rPr>
            <w:rFonts w:ascii="Times New Roman" w:hAnsi="Times New Roman"/>
            <w:sz w:val="20"/>
            <w:szCs w:val="20"/>
          </w:rPr>
          <w:fldChar w:fldCharType="separate"/>
        </w:r>
        <w:r w:rsidR="00E57AE8">
          <w:rPr>
            <w:rFonts w:ascii="Times New Roman" w:hAnsi="Times New Roman"/>
            <w:noProof/>
            <w:sz w:val="20"/>
            <w:szCs w:val="20"/>
          </w:rPr>
          <w:t>18</w:t>
        </w:r>
        <w:r w:rsidRPr="00C22D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284A1CD" w14:textId="77777777" w:rsidR="00C22DCF" w:rsidRDefault="00C22D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295B5" w14:textId="77777777" w:rsidR="00DA7AD4" w:rsidRDefault="00DA7AD4" w:rsidP="002E36F3">
      <w:pPr>
        <w:spacing w:after="0" w:line="240" w:lineRule="auto"/>
      </w:pPr>
      <w:r>
        <w:separator/>
      </w:r>
    </w:p>
  </w:footnote>
  <w:footnote w:type="continuationSeparator" w:id="0">
    <w:p w14:paraId="3721DC69" w14:textId="77777777" w:rsidR="00DA7AD4" w:rsidRDefault="00DA7AD4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FEF"/>
    <w:multiLevelType w:val="multilevel"/>
    <w:tmpl w:val="18C252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48D68E7"/>
    <w:multiLevelType w:val="hybridMultilevel"/>
    <w:tmpl w:val="67C8F39C"/>
    <w:lvl w:ilvl="0" w:tplc="B8D65A2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90675B"/>
    <w:multiLevelType w:val="hybridMultilevel"/>
    <w:tmpl w:val="EC60C580"/>
    <w:lvl w:ilvl="0" w:tplc="25A6C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424919"/>
    <w:multiLevelType w:val="hybridMultilevel"/>
    <w:tmpl w:val="2DB24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2"/>
    <w:rsid w:val="00002E5E"/>
    <w:rsid w:val="00004023"/>
    <w:rsid w:val="000043C5"/>
    <w:rsid w:val="00027A0F"/>
    <w:rsid w:val="000308AE"/>
    <w:rsid w:val="00040E24"/>
    <w:rsid w:val="00072040"/>
    <w:rsid w:val="00077A10"/>
    <w:rsid w:val="00094A67"/>
    <w:rsid w:val="000A3D9B"/>
    <w:rsid w:val="000B2092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1C69"/>
    <w:rsid w:val="001938A1"/>
    <w:rsid w:val="001C0FB0"/>
    <w:rsid w:val="001C5965"/>
    <w:rsid w:val="001C740E"/>
    <w:rsid w:val="00243695"/>
    <w:rsid w:val="00261001"/>
    <w:rsid w:val="00286486"/>
    <w:rsid w:val="00290418"/>
    <w:rsid w:val="00296EB0"/>
    <w:rsid w:val="002C0B5E"/>
    <w:rsid w:val="002C60CF"/>
    <w:rsid w:val="002E36F3"/>
    <w:rsid w:val="002F2D67"/>
    <w:rsid w:val="00302904"/>
    <w:rsid w:val="00330BF6"/>
    <w:rsid w:val="003562C6"/>
    <w:rsid w:val="00384901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8605E"/>
    <w:rsid w:val="004A4F12"/>
    <w:rsid w:val="004B5DD5"/>
    <w:rsid w:val="004C0CE2"/>
    <w:rsid w:val="004F0CFF"/>
    <w:rsid w:val="004F6B7B"/>
    <w:rsid w:val="00515CAB"/>
    <w:rsid w:val="00541510"/>
    <w:rsid w:val="00551BA1"/>
    <w:rsid w:val="00565E58"/>
    <w:rsid w:val="00577755"/>
    <w:rsid w:val="00593A19"/>
    <w:rsid w:val="005B020B"/>
    <w:rsid w:val="005B0C56"/>
    <w:rsid w:val="005B22A9"/>
    <w:rsid w:val="005C028C"/>
    <w:rsid w:val="005C376E"/>
    <w:rsid w:val="005D4126"/>
    <w:rsid w:val="005E6A30"/>
    <w:rsid w:val="006103B2"/>
    <w:rsid w:val="00632CF0"/>
    <w:rsid w:val="00637434"/>
    <w:rsid w:val="006376B1"/>
    <w:rsid w:val="00645C45"/>
    <w:rsid w:val="006769A3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41D9F"/>
    <w:rsid w:val="0075353C"/>
    <w:rsid w:val="00761A07"/>
    <w:rsid w:val="0077752E"/>
    <w:rsid w:val="0078344B"/>
    <w:rsid w:val="007B12EA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3086"/>
    <w:rsid w:val="00886379"/>
    <w:rsid w:val="00894CA1"/>
    <w:rsid w:val="008A6CE9"/>
    <w:rsid w:val="008B0AF6"/>
    <w:rsid w:val="008B1C99"/>
    <w:rsid w:val="008C4EB0"/>
    <w:rsid w:val="008D3D69"/>
    <w:rsid w:val="008E475C"/>
    <w:rsid w:val="008F27BF"/>
    <w:rsid w:val="0091035D"/>
    <w:rsid w:val="00927294"/>
    <w:rsid w:val="0093209E"/>
    <w:rsid w:val="00967FE4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674B2"/>
    <w:rsid w:val="00A70BBE"/>
    <w:rsid w:val="00A767BB"/>
    <w:rsid w:val="00A774B1"/>
    <w:rsid w:val="00A810E1"/>
    <w:rsid w:val="00A850D3"/>
    <w:rsid w:val="00A94CFA"/>
    <w:rsid w:val="00AD2240"/>
    <w:rsid w:val="00AD39A8"/>
    <w:rsid w:val="00AE3686"/>
    <w:rsid w:val="00B10E56"/>
    <w:rsid w:val="00B54409"/>
    <w:rsid w:val="00B546DB"/>
    <w:rsid w:val="00B9683C"/>
    <w:rsid w:val="00BB49BC"/>
    <w:rsid w:val="00BC0620"/>
    <w:rsid w:val="00BD07CA"/>
    <w:rsid w:val="00BF74AE"/>
    <w:rsid w:val="00C00AB5"/>
    <w:rsid w:val="00C055D4"/>
    <w:rsid w:val="00C22DCF"/>
    <w:rsid w:val="00C25106"/>
    <w:rsid w:val="00C327B8"/>
    <w:rsid w:val="00C5285A"/>
    <w:rsid w:val="00C55298"/>
    <w:rsid w:val="00C75B73"/>
    <w:rsid w:val="00CB373B"/>
    <w:rsid w:val="00CB55B0"/>
    <w:rsid w:val="00CB6917"/>
    <w:rsid w:val="00CD0FEF"/>
    <w:rsid w:val="00CE71E5"/>
    <w:rsid w:val="00CF6734"/>
    <w:rsid w:val="00D522B1"/>
    <w:rsid w:val="00D559C3"/>
    <w:rsid w:val="00D971BD"/>
    <w:rsid w:val="00D97BAC"/>
    <w:rsid w:val="00DA0C79"/>
    <w:rsid w:val="00DA1539"/>
    <w:rsid w:val="00DA7AD4"/>
    <w:rsid w:val="00DB106B"/>
    <w:rsid w:val="00E0193B"/>
    <w:rsid w:val="00E03B07"/>
    <w:rsid w:val="00E04DCC"/>
    <w:rsid w:val="00E26A8D"/>
    <w:rsid w:val="00E31CAE"/>
    <w:rsid w:val="00E3553B"/>
    <w:rsid w:val="00E35B02"/>
    <w:rsid w:val="00E45408"/>
    <w:rsid w:val="00E53DF8"/>
    <w:rsid w:val="00E57AE8"/>
    <w:rsid w:val="00E845C2"/>
    <w:rsid w:val="00E8678E"/>
    <w:rsid w:val="00E9584F"/>
    <w:rsid w:val="00E95994"/>
    <w:rsid w:val="00EC315D"/>
    <w:rsid w:val="00EC392F"/>
    <w:rsid w:val="00F00DD4"/>
    <w:rsid w:val="00F14C34"/>
    <w:rsid w:val="00F16816"/>
    <w:rsid w:val="00F257F1"/>
    <w:rsid w:val="00F519A0"/>
    <w:rsid w:val="00F52B2B"/>
    <w:rsid w:val="00F73E46"/>
    <w:rsid w:val="00FC1FF7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342AB2"/>
  <w15:docId w15:val="{662F6886-AB29-460E-AC65-926CBF24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34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99"/>
    <w:locked/>
    <w:rsid w:val="008C4EB0"/>
    <w:rPr>
      <w:lang w:eastAsia="en-US"/>
    </w:rPr>
  </w:style>
  <w:style w:type="character" w:styleId="ab">
    <w:name w:val="annotation reference"/>
    <w:basedOn w:val="a0"/>
    <w:unhideWhenUsed/>
    <w:rsid w:val="00B546DB"/>
    <w:rPr>
      <w:sz w:val="16"/>
      <w:szCs w:val="16"/>
    </w:rPr>
  </w:style>
  <w:style w:type="paragraph" w:styleId="ac">
    <w:name w:val="annotation text"/>
    <w:basedOn w:val="a"/>
    <w:link w:val="ad"/>
    <w:unhideWhenUsed/>
    <w:rsid w:val="00B546D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546DB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</cp:lastModifiedBy>
  <cp:revision>2</cp:revision>
  <cp:lastPrinted>2022-02-09T12:26:00Z</cp:lastPrinted>
  <dcterms:created xsi:type="dcterms:W3CDTF">2022-08-25T06:16:00Z</dcterms:created>
  <dcterms:modified xsi:type="dcterms:W3CDTF">2022-08-25T06:16:00Z</dcterms:modified>
</cp:coreProperties>
</file>